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55524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5552440"/>
                    </a:xfrm>
                    <a:prstGeom prst="rect">
                      <a:avLst/>
                    </a:prstGeom>
                    <a:noFill/>
                  </pic:spPr>
                </pic:pic>
              </a:graphicData>
            </a:graphic>
          </wp:anchor>
        </w:drawing>
      </w:r>
    </w:p>
    <w:p>
      <w:pPr>
        <w:sectPr>
          <w:pgSz w:w="11900" w:h="16838" w:orient="portrait"/>
          <w:cols w:equalWidth="0" w:num="1">
            <w:col w:w="10940"/>
          </w:cols>
          <w:pgMar w:left="480" w:top="230" w:right="479" w:bottom="925"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Wang Jialiang (NMN)</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140" w:type="dxa"/>
            <w:vAlign w:val="bottom"/>
            <w:tcBorders>
              <w:top w:val="single" w:sz="8" w:color="0000EE"/>
              <w:bottom w:val="single" w:sz="8" w:color="9A9A9A"/>
            </w:tcBorders>
          </w:tcPr>
          <w:p>
            <w:pPr>
              <w:spacing w:after="0"/>
              <w:rPr>
                <w:sz w:val="17"/>
                <w:szCs w:val="17"/>
                <w:color w:val="auto"/>
              </w:rPr>
            </w:pPr>
          </w:p>
        </w:tc>
        <w:tc>
          <w:tcPr>
            <w:tcW w:w="92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05/04/2026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GYRE THERAPEUTICS,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GYRE</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433" w:lineRule="exact"/>
        <w:rPr>
          <w:sz w:val="24"/>
          <w:szCs w:val="24"/>
          <w:color w:val="auto"/>
        </w:rPr>
      </w:pPr>
    </w:p>
    <w:p>
      <w:pPr>
        <w:sectPr>
          <w:pgSz w:w="11900" w:h="16838" w:orient="portrait"/>
          <w:cols w:equalWidth="0" w:num="2">
            <w:col w:w="4720" w:space="280"/>
            <w:col w:w="5940"/>
          </w:cols>
          <w:pgMar w:left="480" w:top="230" w:right="479" w:bottom="925"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C/O GYRE THERAPEUTICS, INC.</w:t>
      </w:r>
    </w:p>
    <w:p>
      <w:pPr>
        <w:spacing w:after="0" w:line="70"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18"/>
          <w:szCs w:val="18"/>
          <w:color w:val="0000FF"/>
        </w:rPr>
        <w:t>12730 HIGH BLUFF DRIVE, SUITE</w:t>
      </w:r>
    </w:p>
    <w:p>
      <w:pPr>
        <w:spacing w:after="0" w:line="47"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250</w:t>
      </w:r>
    </w:p>
    <w:p>
      <w:pPr>
        <w:spacing w:after="0" w:line="313"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spacing w:after="0" w:line="37" w:lineRule="exact"/>
        <w:rPr>
          <w:sz w:val="24"/>
          <w:szCs w:val="24"/>
          <w:color w:val="auto"/>
        </w:rPr>
      </w:pPr>
    </w:p>
    <w:p>
      <w:pPr>
        <w:ind w:left="140" w:right="1597"/>
        <w:spacing w:after="0"/>
        <w:rPr>
          <w:sz w:val="20"/>
          <w:szCs w:val="20"/>
          <w:color w:val="auto"/>
        </w:rPr>
      </w:pPr>
      <w:r>
        <w:rPr>
          <w:rFonts w:ascii="Times New Roman" w:cs="Times New Roman" w:eastAsia="Times New Roman" w:hAnsi="Times New Roman"/>
          <w:sz w:val="39"/>
          <w:szCs w:val="39"/>
          <w:color w:val="0000FF"/>
          <w:vertAlign w:val="superscript"/>
        </w:rPr>
        <w:t>SAN</w:t>
      </w:r>
      <w:r>
        <w:rPr>
          <w:rFonts w:ascii="Times New Roman" w:cs="Times New Roman" w:eastAsia="Times New Roman" w:hAnsi="Times New Roman"/>
          <w:sz w:val="20"/>
          <w:szCs w:val="20"/>
          <w:color w:val="0000FF"/>
        </w:rPr>
        <w:t xml:space="preserve"> CA 92130 DIEGO</w:t>
      </w:r>
    </w:p>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663"/>
        <w:spacing w:after="0"/>
        <w:rPr>
          <w:sz w:val="20"/>
          <w:szCs w:val="20"/>
          <w:color w:val="auto"/>
        </w:rPr>
      </w:pPr>
      <w:r>
        <w:rPr>
          <w:rFonts w:ascii="Times New Roman" w:cs="Times New Roman" w:eastAsia="Times New Roman" w:hAnsi="Times New Roman"/>
          <w:sz w:val="20"/>
          <w:szCs w:val="20"/>
          <w:color w:val="0000FF"/>
        </w:rPr>
        <w:t>EVP, General Manager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5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313" w:lineRule="exact"/>
        <w:rPr>
          <w:sz w:val="24"/>
          <w:szCs w:val="24"/>
          <w:color w:val="auto"/>
        </w:rPr>
      </w:pPr>
    </w:p>
    <w:p>
      <w:pPr>
        <w:sectPr>
          <w:pgSz w:w="11900" w:h="16838" w:orient="portrait"/>
          <w:cols w:equalWidth="0" w:num="3">
            <w:col w:w="4277" w:space="720"/>
            <w:col w:w="3003" w:space="269"/>
            <w:col w:w="2671"/>
          </w:cols>
          <w:pgMar w:left="480" w:top="230" w:right="479" w:bottom="925" w:gutter="0" w:footer="0" w:header="0"/>
          <w:type w:val="continuous"/>
        </w:sectPr>
      </w:pPr>
    </w:p>
    <w:p>
      <w:pPr>
        <w:spacing w:after="0" w:line="193"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06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8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84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30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98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30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740" w:type="dxa"/>
            <w:vAlign w:val="bottom"/>
          </w:tcPr>
          <w:p>
            <w:pPr>
              <w:spacing w:after="0"/>
              <w:rPr>
                <w:sz w:val="5"/>
                <w:szCs w:val="5"/>
                <w:color w:val="auto"/>
              </w:rPr>
            </w:pPr>
          </w:p>
        </w:tc>
        <w:tc>
          <w:tcPr>
            <w:tcW w:w="840" w:type="dxa"/>
            <w:vAlign w:val="bottom"/>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980" w:type="dxa"/>
            <w:vAlign w:val="bottom"/>
          </w:tcPr>
          <w:p>
            <w:pPr>
              <w:ind w:left="6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4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4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84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840" w:type="dxa"/>
            <w:vAlign w:val="bottom"/>
          </w:tcPr>
          <w:p>
            <w:pPr>
              <w:ind w:left="18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30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30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980" w:type="dxa"/>
            <w:vAlign w:val="bottom"/>
          </w:tcPr>
          <w:p>
            <w:pPr>
              <w:ind w:left="420"/>
              <w:spacing w:after="0"/>
              <w:rPr>
                <w:sz w:val="20"/>
                <w:szCs w:val="20"/>
                <w:color w:val="auto"/>
              </w:rPr>
            </w:pPr>
            <w:r>
              <w:rPr>
                <w:rFonts w:ascii="Times New Roman" w:cs="Times New Roman" w:eastAsia="Times New Roman" w:hAnsi="Times New Roman"/>
                <w:sz w:val="13"/>
                <w:szCs w:val="13"/>
                <w:color w:val="008000"/>
              </w:rPr>
              <w:t>(1)</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0000FF"/>
              </w:rPr>
              <w:t>06/07/2028</w:t>
            </w:r>
          </w:p>
        </w:tc>
        <w:tc>
          <w:tcPr>
            <w:tcW w:w="174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84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95,060</w:t>
            </w:r>
          </w:p>
        </w:tc>
        <w:tc>
          <w:tcPr>
            <w:tcW w:w="98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0.32</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30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30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980" w:type="dxa"/>
            <w:vAlign w:val="bottom"/>
          </w:tcPr>
          <w:p>
            <w:pPr>
              <w:ind w:left="420"/>
              <w:spacing w:after="0"/>
              <w:rPr>
                <w:sz w:val="20"/>
                <w:szCs w:val="20"/>
                <w:color w:val="auto"/>
              </w:rPr>
            </w:pPr>
            <w:r>
              <w:rPr>
                <w:rFonts w:ascii="Times New Roman" w:cs="Times New Roman" w:eastAsia="Times New Roman" w:hAnsi="Times New Roman"/>
                <w:sz w:val="13"/>
                <w:szCs w:val="13"/>
                <w:color w:val="008000"/>
              </w:rPr>
              <w:t>(1)</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0000FF"/>
              </w:rPr>
              <w:t>01/12/2030</w:t>
            </w:r>
          </w:p>
        </w:tc>
        <w:tc>
          <w:tcPr>
            <w:tcW w:w="174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84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38,024</w:t>
            </w:r>
          </w:p>
        </w:tc>
        <w:tc>
          <w:tcPr>
            <w:tcW w:w="98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0.93</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30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30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980" w:type="dxa"/>
            <w:vAlign w:val="bottom"/>
          </w:tcPr>
          <w:p>
            <w:pPr>
              <w:ind w:left="420"/>
              <w:spacing w:after="0"/>
              <w:rPr>
                <w:sz w:val="20"/>
                <w:szCs w:val="20"/>
                <w:color w:val="auto"/>
              </w:rPr>
            </w:pPr>
            <w:r>
              <w:rPr>
                <w:rFonts w:ascii="Times New Roman" w:cs="Times New Roman" w:eastAsia="Times New Roman" w:hAnsi="Times New Roman"/>
                <w:sz w:val="13"/>
                <w:szCs w:val="13"/>
                <w:color w:val="008000"/>
              </w:rPr>
              <w:t>(1)</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0000FF"/>
              </w:rPr>
              <w:t>04/16/2031</w:t>
            </w:r>
          </w:p>
        </w:tc>
        <w:tc>
          <w:tcPr>
            <w:tcW w:w="174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84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42,777</w:t>
            </w:r>
          </w:p>
        </w:tc>
        <w:tc>
          <w:tcPr>
            <w:tcW w:w="98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9"/>
              </w:rPr>
              <w:t>2</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30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30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980" w:type="dxa"/>
            <w:vAlign w:val="bottom"/>
          </w:tcPr>
          <w:p>
            <w:pPr>
              <w:ind w:left="420"/>
              <w:spacing w:after="0"/>
              <w:rPr>
                <w:sz w:val="20"/>
                <w:szCs w:val="20"/>
                <w:color w:val="auto"/>
              </w:rPr>
            </w:pPr>
            <w:r>
              <w:rPr>
                <w:rFonts w:ascii="Times New Roman" w:cs="Times New Roman" w:eastAsia="Times New Roman" w:hAnsi="Times New Roman"/>
                <w:sz w:val="13"/>
                <w:szCs w:val="13"/>
                <w:color w:val="008000"/>
              </w:rPr>
              <w:t>(2)</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6"/>
              </w:rPr>
              <w:t>11/12/2034</w:t>
            </w:r>
          </w:p>
        </w:tc>
        <w:tc>
          <w:tcPr>
            <w:tcW w:w="174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84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47,530</w:t>
            </w:r>
          </w:p>
        </w:tc>
        <w:tc>
          <w:tcPr>
            <w:tcW w:w="98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5.98</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30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0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 w:lineRule="exact"/>
        <w:rPr>
          <w:sz w:val="24"/>
          <w:szCs w:val="24"/>
          <w:color w:val="auto"/>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This option is fully vested.</w:t>
      </w:r>
    </w:p>
    <w:p>
      <w:pPr>
        <w:spacing w:after="0" w:line="52" w:lineRule="exact"/>
        <w:rPr>
          <w:rFonts w:ascii="Times New Roman" w:cs="Times New Roman" w:eastAsia="Times New Roman" w:hAnsi="Times New Roman"/>
          <w:sz w:val="15"/>
          <w:szCs w:val="15"/>
          <w:color w:val="008000"/>
        </w:rPr>
      </w:pPr>
    </w:p>
    <w:p>
      <w:pPr>
        <w:ind w:left="40" w:right="38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This option represents a right to purchase 47,530 shares of the Issuer's common stock, one quarter of which vested on November 13, 2025, with the remaining three quarters vesting in equal monthly installments over the following three years, subject to the Reporting Person's continued service to the Issuer on each such vesting date.</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24 - Power of Attorney</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4"/>
          </w:tcPr>
          <w:p>
            <w:pPr>
              <w:spacing w:after="0"/>
              <w:rPr>
                <w:sz w:val="20"/>
                <w:szCs w:val="20"/>
                <w:color w:val="auto"/>
              </w:rPr>
            </w:pPr>
            <w:r>
              <w:rPr>
                <w:rFonts w:ascii="Times New Roman" w:cs="Times New Roman" w:eastAsia="Times New Roman" w:hAnsi="Times New Roman"/>
                <w:sz w:val="20"/>
                <w:szCs w:val="20"/>
                <w:color w:val="0000FF"/>
              </w:rPr>
              <w:t>/s/ Thomas Eastling, as</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1800" w:type="dxa"/>
            <w:vAlign w:val="bottom"/>
            <w:tcBorders>
              <w:top w:val="single" w:sz="8" w:color="auto"/>
            </w:tcBorders>
            <w:gridSpan w:val="3"/>
          </w:tcPr>
          <w:p>
            <w:pPr>
              <w:spacing w:after="0" w:line="220" w:lineRule="exact"/>
              <w:rPr>
                <w:sz w:val="20"/>
                <w:szCs w:val="20"/>
                <w:color w:val="auto"/>
              </w:rPr>
            </w:pPr>
            <w:r>
              <w:rPr>
                <w:rFonts w:ascii="Times New Roman" w:cs="Times New Roman" w:eastAsia="Times New Roman" w:hAnsi="Times New Roman"/>
                <w:sz w:val="20"/>
                <w:szCs w:val="20"/>
                <w:color w:val="0000FF"/>
              </w:rPr>
              <w:t>attorney-in-fact for</w:t>
            </w:r>
          </w:p>
        </w:tc>
        <w:tc>
          <w:tcPr>
            <w:tcW w:w="380" w:type="dxa"/>
            <w:vAlign w:val="bottom"/>
          </w:tcPr>
          <w:p>
            <w:pPr>
              <w:spacing w:after="0"/>
              <w:rPr>
                <w:sz w:val="19"/>
                <w:szCs w:val="19"/>
                <w:color w:val="auto"/>
              </w:rPr>
            </w:pPr>
          </w:p>
        </w:tc>
        <w:tc>
          <w:tcPr>
            <w:tcW w:w="900" w:type="dxa"/>
            <w:vAlign w:val="bottom"/>
          </w:tcPr>
          <w:p>
            <w:pPr>
              <w:spacing w:after="0" w:line="220" w:lineRule="exact"/>
              <w:rPr>
                <w:sz w:val="20"/>
                <w:szCs w:val="20"/>
                <w:color w:val="auto"/>
              </w:rPr>
            </w:pPr>
            <w:r>
              <w:rPr>
                <w:rFonts w:ascii="Times New Roman" w:cs="Times New Roman" w:eastAsia="Times New Roman" w:hAnsi="Times New Roman"/>
                <w:sz w:val="20"/>
                <w:szCs w:val="20"/>
                <w:color w:val="0000FF"/>
                <w:w w:val="96"/>
              </w:rPr>
              <w:t>05/07/2026</w:t>
            </w: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1100" w:type="dxa"/>
            <w:vAlign w:val="bottom"/>
            <w:tcBorders>
              <w:top w:val="single" w:sz="8" w:color="auto"/>
              <w:bottom w:val="single" w:sz="8" w:color="auto"/>
            </w:tcBorders>
          </w:tcPr>
          <w:p>
            <w:pPr>
              <w:spacing w:after="0" w:line="220" w:lineRule="exact"/>
              <w:rPr>
                <w:sz w:val="20"/>
                <w:szCs w:val="20"/>
                <w:color w:val="auto"/>
              </w:rPr>
            </w:pPr>
            <w:r>
              <w:rPr>
                <w:rFonts w:ascii="Times New Roman" w:cs="Times New Roman" w:eastAsia="Times New Roman" w:hAnsi="Times New Roman"/>
                <w:sz w:val="20"/>
                <w:szCs w:val="20"/>
                <w:color w:val="0000FF"/>
                <w:w w:val="93"/>
              </w:rPr>
              <w:t>Jialiang Wang</w:t>
            </w:r>
          </w:p>
        </w:tc>
        <w:tc>
          <w:tcPr>
            <w:tcW w:w="380" w:type="dxa"/>
            <w:vAlign w:val="bottom"/>
            <w:tcBorders>
              <w:top w:val="single" w:sz="8" w:color="auto"/>
            </w:tcBorders>
          </w:tcPr>
          <w:p>
            <w:pPr>
              <w:spacing w:after="0"/>
              <w:rPr>
                <w:sz w:val="19"/>
                <w:szCs w:val="19"/>
                <w:color w:val="auto"/>
              </w:rPr>
            </w:pPr>
          </w:p>
        </w:tc>
        <w:tc>
          <w:tcPr>
            <w:tcW w:w="700" w:type="dxa"/>
            <w:vAlign w:val="bottom"/>
            <w:gridSpan w:val="2"/>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4"/>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4"/>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4"/>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5"/>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5"/>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925"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304800</wp:posOffset>
            </wp:positionH>
            <wp:positionV relativeFrom="page">
              <wp:posOffset>88900</wp:posOffset>
            </wp:positionV>
            <wp:extent cx="6946900" cy="38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38100"/>
                    </a:xfrm>
                    <a:prstGeom prst="rect">
                      <a:avLst/>
                    </a:prstGeom>
                    <a:noFill/>
                  </pic:spPr>
                </pic:pic>
              </a:graphicData>
            </a:graphic>
          </wp:anchor>
        </w:drawing>
        <w:t>Exhibit 24</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5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Know all by these presents that the undersigned hereby constitutes and appoints each of Ying Luo, Thomas Eastling, and</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Joshua Bergmann, and any of their substitutes, signing singly, as the undersigned’s true and lawful attorney-in-fact to:</w:t>
      </w:r>
    </w:p>
    <w:p>
      <w:pPr>
        <w:spacing w:after="0" w:line="230" w:lineRule="exact"/>
        <w:rPr>
          <w:sz w:val="20"/>
          <w:szCs w:val="20"/>
          <w:color w:val="auto"/>
        </w:rPr>
      </w:pPr>
    </w:p>
    <w:p>
      <w:pPr>
        <w:jc w:val="both"/>
        <w:ind w:left="360" w:hanging="360"/>
        <w:spacing w:after="0" w:line="261" w:lineRule="auto"/>
        <w:tabs>
          <w:tab w:leader="none" w:pos="36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prepare, execute in the undersigned’s name and on the undersigned’s behalf, and submit to the U.S. Securities and Exchange Commission (the “SEC”) a Form ID, including amendments thereto, and any other document necessary or appropriate to obtain codes, passwords, and passphrases enabling the undersigned to make electronic filings with the SEC of reports require by the Securities Exchange Act of 1934 or any rule or regulation of the SEC;</w:t>
      </w:r>
    </w:p>
    <w:p>
      <w:pPr>
        <w:spacing w:after="0" w:line="200" w:lineRule="exact"/>
        <w:rPr>
          <w:rFonts w:ascii="Times New Roman" w:cs="Times New Roman" w:eastAsia="Times New Roman" w:hAnsi="Times New Roman"/>
          <w:sz w:val="20"/>
          <w:szCs w:val="20"/>
          <w:color w:val="auto"/>
        </w:rPr>
      </w:pPr>
    </w:p>
    <w:p>
      <w:pPr>
        <w:jc w:val="both"/>
        <w:ind w:left="360" w:hanging="360"/>
        <w:spacing w:after="0" w:line="266" w:lineRule="auto"/>
        <w:tabs>
          <w:tab w:leader="none" w:pos="36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 for and on behalf of the undersigned, in the undersigned’s capacity as a director, officer and/or ten percent stockholder of Gyre Therapeutics, Inc. (the “Company”), Forms 3, 4, and 5 in accordance with Section 16(a) of the Securities Exchange Act of 1934 and the rules thereunder;</w:t>
      </w:r>
    </w:p>
    <w:p>
      <w:pPr>
        <w:spacing w:after="0" w:line="195" w:lineRule="exact"/>
        <w:rPr>
          <w:rFonts w:ascii="Times New Roman" w:cs="Times New Roman" w:eastAsia="Times New Roman" w:hAnsi="Times New Roman"/>
          <w:sz w:val="20"/>
          <w:szCs w:val="20"/>
          <w:color w:val="auto"/>
        </w:rPr>
      </w:pPr>
    </w:p>
    <w:p>
      <w:pPr>
        <w:jc w:val="both"/>
        <w:ind w:left="360" w:hanging="360"/>
        <w:spacing w:after="0" w:line="266" w:lineRule="auto"/>
        <w:tabs>
          <w:tab w:leader="none" w:pos="36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which may be necessary or desirable to complete and execute any such Form 3, 4, or 5, complete and execute any amendment or amendments thereto, and timely file such form with the SEC and any securities exchange or similar authority; and</w:t>
      </w:r>
    </w:p>
    <w:p>
      <w:pPr>
        <w:spacing w:after="0" w:line="195" w:lineRule="exact"/>
        <w:rPr>
          <w:rFonts w:ascii="Times New Roman" w:cs="Times New Roman" w:eastAsia="Times New Roman" w:hAnsi="Times New Roman"/>
          <w:sz w:val="20"/>
          <w:szCs w:val="20"/>
          <w:color w:val="auto"/>
        </w:rPr>
      </w:pPr>
    </w:p>
    <w:p>
      <w:pPr>
        <w:jc w:val="both"/>
        <w:ind w:left="360" w:hanging="360"/>
        <w:spacing w:after="0" w:line="261" w:lineRule="auto"/>
        <w:tabs>
          <w:tab w:leader="none" w:pos="36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0"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each such attorney-in-fact, or such attorney-in-fact’s substitute or substitutes, shall lawfully do or cause to be done by virtue of this power of attorney and the rights and powers herein granted. The undersigned also ratifies hereby any action previously taken by each attorney-in-fact that would have been authorized by this power of attorney if it has been in effect at the time such action was taken. The undersigned acknowledges that each attorney-in-fact, in serving in such capacity at the request of the undersigned, is not assuming, nor is the Company assuming, any of the undersigned’s responsibilities to comply with Section 16 of the Securities Exchange Act of 1934, as amended.</w:t>
      </w:r>
    </w:p>
    <w:p>
      <w:pPr>
        <w:spacing w:after="0" w:line="211" w:lineRule="exact"/>
        <w:rPr>
          <w:sz w:val="20"/>
          <w:szCs w:val="20"/>
          <w:color w:val="auto"/>
        </w:rPr>
      </w:pPr>
    </w:p>
    <w:p>
      <w:pPr>
        <w:jc w:val="both"/>
        <w:ind w:firstLine="720"/>
        <w:spacing w:after="0" w:line="266"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each of the foregoing attorneys-in-fact.</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May 7, 2026.</w:t>
      </w:r>
    </w:p>
    <w:p>
      <w:pPr>
        <w:spacing w:after="0" w:line="250"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20"/>
          <w:szCs w:val="20"/>
          <w:color w:val="auto"/>
        </w:rPr>
        <w:t>By: /s/ Jialiang Wang, Ph.D.</w:t>
      </w:r>
    </w:p>
    <w:p>
      <w:pPr>
        <w:spacing w:after="0" w:line="40"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20"/>
          <w:szCs w:val="20"/>
          <w:color w:val="auto"/>
        </w:rPr>
        <w:t>Name: Jialiang Wang,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4383405</wp:posOffset>
            </wp:positionH>
            <wp:positionV relativeFrom="paragraph">
              <wp:posOffset>-142240</wp:posOffset>
            </wp:positionV>
            <wp:extent cx="2563495" cy="190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2563495" cy="190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381635</wp:posOffset>
            </wp:positionV>
            <wp:extent cx="6946900" cy="19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sectPr>
      <w:pgSz w:w="11900" w:h="16838" w:orient="portrait"/>
      <w:cols w:equalWidth="0" w:num="1">
        <w:col w:w="10940"/>
      </w:cols>
      <w:pgMar w:left="480" w:top="28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0" Type="http://schemas.openxmlformats.org/officeDocument/2006/relationships/hyperlink" Target="http://www.sec.gov/cgi-bin/browse-edgar?action=getcompany&amp;CIK=0002133226" TargetMode="External"/><Relationship Id="rId11" Type="http://schemas.openxmlformats.org/officeDocument/2006/relationships/hyperlink" Target="http://www.sec.gov/cgi-bin/browse-edgar?action=getcompany&amp;CIK=000112410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2026-05-07T20:24:46Z</dcterms:created>
  <dcterms:modified xsi:type="dcterms:W3CDTF">2026-05-07T20:24:46Z</dcterms:modified>
</cp:coreProperties>
</file>